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20" w:afterLines="50" w:line="57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2024年度南京市民政局监管计划表</w:t>
      </w:r>
    </w:p>
    <w:p>
      <w:pPr>
        <w:pStyle w:val="4"/>
        <w:spacing w:line="570" w:lineRule="exact"/>
        <w:jc w:val="both"/>
        <w:rPr>
          <w:rFonts w:ascii="Times New Roman" w:hAnsi="Times New Roman" w:eastAsia="方正黑体_GBK" w:cs="Times New Roman"/>
          <w:snapToGrid w:val="0"/>
          <w:szCs w:val="20"/>
        </w:rPr>
      </w:pPr>
      <w:r>
        <w:rPr>
          <w:rFonts w:ascii="Times New Roman" w:hAnsi="Times New Roman" w:eastAsia="方正黑体_GBK" w:cs="Times New Roman"/>
          <w:snapToGrid w:val="0"/>
          <w:szCs w:val="20"/>
        </w:rPr>
        <w:t>表1：</w:t>
      </w:r>
    </w:p>
    <w:tbl>
      <w:tblPr>
        <w:tblStyle w:val="9"/>
        <w:tblW w:w="51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30"/>
        <w:gridCol w:w="1333"/>
        <w:gridCol w:w="1333"/>
        <w:gridCol w:w="1192"/>
        <w:gridCol w:w="1302"/>
        <w:gridCol w:w="1264"/>
        <w:gridCol w:w="1242"/>
        <w:gridCol w:w="1302"/>
        <w:gridCol w:w="1242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pStyle w:val="4"/>
              <w:spacing w:line="570" w:lineRule="exact"/>
              <w:jc w:val="center"/>
              <w:rPr>
                <w:rFonts w:ascii="Times New Roman" w:hAnsi="Times New Roman" w:eastAsia="方正黑体_GBK" w:cs="Times New Roman"/>
                <w:snapToGrid w:val="0"/>
              </w:rPr>
            </w:pPr>
            <w:r>
              <w:rPr>
                <w:rFonts w:ascii="Times New Roman" w:hAnsi="Times New Roman" w:eastAsia="方正黑体_GBK" w:cs="Times New Roman"/>
                <w:snapToGrid w:val="0"/>
              </w:rPr>
              <w:t>“双随机、一公开”监管计划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" w:type="pct"/>
            <w:noWrap w:val="0"/>
            <w:vAlign w:val="center"/>
          </w:tcPr>
          <w:p>
            <w:pPr>
              <w:pStyle w:val="4"/>
              <w:spacing w:line="300" w:lineRule="exact"/>
              <w:ind w:left="-106" w:leftChars="-51" w:right="-210" w:rightChars="-100" w:hanging="1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序号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任务名称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检查事项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检查对象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检查方式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抽取比例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抽取数量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检查频次</w:t>
            </w:r>
          </w:p>
        </w:tc>
        <w:tc>
          <w:tcPr>
            <w:tcW w:w="41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检查层级</w:t>
            </w:r>
          </w:p>
        </w:tc>
        <w:tc>
          <w:tcPr>
            <w:tcW w:w="3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责任处室</w:t>
            </w:r>
          </w:p>
        </w:tc>
        <w:tc>
          <w:tcPr>
            <w:tcW w:w="108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是否结合</w:t>
            </w:r>
          </w:p>
          <w:p>
            <w:pPr>
              <w:pStyle w:val="4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信用风险</w:t>
            </w:r>
          </w:p>
          <w:p>
            <w:pPr>
              <w:pStyle w:val="4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6"/>
              </w:rPr>
              <w:t>分类抽取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慈善组织检查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对慈善组织依法开展活动的行政检查</w:t>
            </w:r>
          </w:p>
        </w:tc>
        <w:tc>
          <w:tcPr>
            <w:tcW w:w="42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市属慈善组织</w:t>
            </w:r>
          </w:p>
        </w:tc>
        <w:tc>
          <w:tcPr>
            <w:tcW w:w="380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现场检查、书面检查、网络检查、第三方审计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7%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2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41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市级</w:t>
            </w:r>
          </w:p>
        </w:tc>
        <w:tc>
          <w:tcPr>
            <w:tcW w:w="3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市慈善事业发展中心</w:t>
            </w:r>
          </w:p>
        </w:tc>
        <w:tc>
          <w:tcPr>
            <w:tcW w:w="108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否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社会组织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2</w:t>
            </w:r>
          </w:p>
        </w:tc>
        <w:tc>
          <w:tcPr>
            <w:tcW w:w="4768" w:type="pct"/>
            <w:gridSpan w:val="10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市民政局社会组织2024年度“双随机、一公开”（单部门）监管工作按照省民政厅统筹计划开展。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备注</w:t>
            </w:r>
          </w:p>
        </w:tc>
        <w:tc>
          <w:tcPr>
            <w:tcW w:w="4768" w:type="pct"/>
            <w:gridSpan w:val="10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检查方式填写现场检查、网络检查等；检查层级根据具体检查部门，填写市级、区级或市区两级。</w:t>
            </w:r>
          </w:p>
        </w:tc>
      </w:tr>
    </w:tbl>
    <w:p>
      <w:pPr>
        <w:pStyle w:val="2"/>
        <w:rPr>
          <w:rFonts w:ascii="Times New Roman" w:hAnsi="Times New Roman"/>
          <w:snapToGrid w:val="0"/>
          <w:kern w:val="0"/>
          <w:sz w:val="32"/>
        </w:rPr>
      </w:pPr>
      <w:r>
        <w:rPr>
          <w:rFonts w:ascii="Times New Roman" w:hAnsi="Times New Roman"/>
          <w:snapToGrid w:val="0"/>
        </w:rPr>
        <w:br w:type="page"/>
      </w:r>
    </w:p>
    <w:p>
      <w:pPr>
        <w:pStyle w:val="4"/>
        <w:spacing w:line="570" w:lineRule="exact"/>
        <w:jc w:val="both"/>
        <w:rPr>
          <w:rFonts w:ascii="Times New Roman" w:hAnsi="Times New Roman" w:eastAsia="方正黑体_GBK" w:cs="Times New Roman"/>
          <w:snapToGrid w:val="0"/>
          <w:szCs w:val="20"/>
        </w:rPr>
      </w:pPr>
      <w:r>
        <w:rPr>
          <w:rFonts w:ascii="Times New Roman" w:hAnsi="Times New Roman" w:eastAsia="方正黑体_GBK" w:cs="Times New Roman"/>
          <w:snapToGrid w:val="0"/>
          <w:szCs w:val="20"/>
        </w:rPr>
        <w:t>表2：</w:t>
      </w:r>
    </w:p>
    <w:tbl>
      <w:tblPr>
        <w:tblStyle w:val="9"/>
        <w:tblW w:w="52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89"/>
        <w:gridCol w:w="566"/>
        <w:gridCol w:w="650"/>
        <w:gridCol w:w="2919"/>
        <w:gridCol w:w="2013"/>
        <w:gridCol w:w="1200"/>
        <w:gridCol w:w="694"/>
        <w:gridCol w:w="633"/>
        <w:gridCol w:w="627"/>
        <w:gridCol w:w="669"/>
        <w:gridCol w:w="752"/>
        <w:gridCol w:w="1058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pStyle w:val="4"/>
              <w:spacing w:line="570" w:lineRule="exact"/>
              <w:jc w:val="center"/>
              <w:rPr>
                <w:rFonts w:ascii="Times New Roman" w:hAnsi="Times New Roman" w:eastAsia="方正黑体_GBK" w:cs="Times New Roman"/>
                <w:snapToGrid w:val="0"/>
              </w:rPr>
            </w:pPr>
            <w:r>
              <w:rPr>
                <w:rFonts w:ascii="Times New Roman" w:hAnsi="Times New Roman" w:eastAsia="方正黑体_GBK" w:cs="Times New Roman"/>
                <w:snapToGrid w:val="0"/>
              </w:rPr>
              <w:t>跨部门联合监管计划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pStyle w:val="4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176" w:type="pct"/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检查领域</w:t>
            </w:r>
          </w:p>
        </w:tc>
        <w:tc>
          <w:tcPr>
            <w:tcW w:w="20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发起部门</w:t>
            </w:r>
          </w:p>
        </w:tc>
        <w:tc>
          <w:tcPr>
            <w:tcW w:w="90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检查事项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参与部门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1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检查比例</w:t>
            </w:r>
          </w:p>
        </w:tc>
        <w:tc>
          <w:tcPr>
            <w:tcW w:w="19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检查数量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检查频次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检查层级</w:t>
            </w:r>
          </w:p>
        </w:tc>
        <w:tc>
          <w:tcPr>
            <w:tcW w:w="3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责任处室</w:t>
            </w:r>
          </w:p>
        </w:tc>
        <w:tc>
          <w:tcPr>
            <w:tcW w:w="84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是否结合</w:t>
            </w:r>
          </w:p>
          <w:p>
            <w:pPr>
              <w:pStyle w:val="4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信用风险</w:t>
            </w:r>
          </w:p>
          <w:p>
            <w:pPr>
              <w:pStyle w:val="4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分类抽取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市级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eastAsia="zh-CN"/>
              </w:rPr>
              <w:t>社会组织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检查</w:t>
            </w:r>
          </w:p>
        </w:tc>
        <w:tc>
          <w:tcPr>
            <w:tcW w:w="176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社会组织</w:t>
            </w:r>
          </w:p>
        </w:tc>
        <w:tc>
          <w:tcPr>
            <w:tcW w:w="20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市民政局</w:t>
            </w:r>
          </w:p>
        </w:tc>
        <w:tc>
          <w:tcPr>
            <w:tcW w:w="90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eastAsia="zh-CN"/>
              </w:rPr>
              <w:t>社会组织依法开展活动情况的行政检查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市市场监督管理局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市级行业协会商会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现场检查</w:t>
            </w:r>
          </w:p>
        </w:tc>
        <w:tc>
          <w:tcPr>
            <w:tcW w:w="1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4%</w:t>
            </w:r>
          </w:p>
        </w:tc>
        <w:tc>
          <w:tcPr>
            <w:tcW w:w="19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5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市级</w:t>
            </w:r>
          </w:p>
        </w:tc>
        <w:tc>
          <w:tcPr>
            <w:tcW w:w="3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社会组织管理局</w:t>
            </w:r>
          </w:p>
        </w:tc>
        <w:tc>
          <w:tcPr>
            <w:tcW w:w="84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否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社会组织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2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养老机构检查</w:t>
            </w:r>
          </w:p>
        </w:tc>
        <w:tc>
          <w:tcPr>
            <w:tcW w:w="176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养老</w:t>
            </w:r>
          </w:p>
        </w:tc>
        <w:tc>
          <w:tcPr>
            <w:tcW w:w="20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市民政局</w:t>
            </w:r>
          </w:p>
        </w:tc>
        <w:tc>
          <w:tcPr>
            <w:tcW w:w="90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right="-113" w:rightChars="-54"/>
              <w:jc w:val="both"/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eastAsia="zh-CN"/>
              </w:rPr>
              <w:t>对养老机构依法服务和运营的行政检查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市房产局、市卫健委、市消防支队、市市场监管局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市属养老机构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现场检查</w:t>
            </w:r>
          </w:p>
        </w:tc>
        <w:tc>
          <w:tcPr>
            <w:tcW w:w="1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100%</w:t>
            </w:r>
          </w:p>
        </w:tc>
        <w:tc>
          <w:tcPr>
            <w:tcW w:w="19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2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市级</w:t>
            </w:r>
          </w:p>
        </w:tc>
        <w:tc>
          <w:tcPr>
            <w:tcW w:w="3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养老服务处</w:t>
            </w:r>
          </w:p>
        </w:tc>
        <w:tc>
          <w:tcPr>
            <w:tcW w:w="84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否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事业单位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3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对经营性公墓（塔陵）的监督检查</w:t>
            </w:r>
          </w:p>
        </w:tc>
        <w:tc>
          <w:tcPr>
            <w:tcW w:w="176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殡葬</w:t>
            </w:r>
          </w:p>
        </w:tc>
        <w:tc>
          <w:tcPr>
            <w:tcW w:w="20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市民政局</w:t>
            </w:r>
          </w:p>
        </w:tc>
        <w:tc>
          <w:tcPr>
            <w:tcW w:w="90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  <w:lang w:eastAsia="zh-CN"/>
              </w:rPr>
              <w:t>殡葬服务机构依法服务和运营的行政检查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。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市市场监督管理局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经依法审批的经营性公墓(塔陵)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现场检查</w:t>
            </w:r>
          </w:p>
        </w:tc>
        <w:tc>
          <w:tcPr>
            <w:tcW w:w="1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26%</w:t>
            </w:r>
          </w:p>
        </w:tc>
        <w:tc>
          <w:tcPr>
            <w:tcW w:w="19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5</w:t>
            </w:r>
          </w:p>
        </w:tc>
        <w:tc>
          <w:tcPr>
            <w:tcW w:w="208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1次/年</w:t>
            </w:r>
          </w:p>
        </w:tc>
        <w:tc>
          <w:tcPr>
            <w:tcW w:w="233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市级</w:t>
            </w:r>
          </w:p>
        </w:tc>
        <w:tc>
          <w:tcPr>
            <w:tcW w:w="32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市殡葬管理处</w:t>
            </w:r>
          </w:p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</w:p>
        </w:tc>
        <w:tc>
          <w:tcPr>
            <w:tcW w:w="84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4"/>
                <w:szCs w:val="28"/>
              </w:rPr>
              <w:t>结合市场监管部门通用型分类结果分类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备注</w:t>
            </w:r>
          </w:p>
        </w:tc>
        <w:tc>
          <w:tcPr>
            <w:tcW w:w="4820" w:type="pct"/>
            <w:gridSpan w:val="13"/>
            <w:noWrap w:val="0"/>
            <w:vAlign w:val="center"/>
          </w:tcPr>
          <w:p>
            <w:pPr>
              <w:pStyle w:val="4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8"/>
              </w:rPr>
              <w:t>由任务发起部门填写，并提出需要配合的参与部门。</w:t>
            </w:r>
          </w:p>
        </w:tc>
      </w:tr>
    </w:tbl>
    <w:p>
      <w:pPr>
        <w:spacing w:line="560" w:lineRule="exact"/>
        <w:ind w:right="160"/>
        <w:jc w:val="left"/>
        <w:rPr>
          <w:rFonts w:ascii="Times New Roman" w:hAnsi="Times New Roman" w:eastAsia="方正仿宋_GBK"/>
          <w:sz w:val="13"/>
          <w:szCs w:val="8"/>
        </w:rPr>
      </w:pPr>
    </w:p>
    <w:sectPr>
      <w:footerReference r:id="rId3" w:type="default"/>
      <w:footerReference r:id="rId4" w:type="even"/>
      <w:pgSz w:w="16838" w:h="11906" w:orient="landscape"/>
      <w:pgMar w:top="1418" w:right="851" w:bottom="1418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64"/>
    <w:rsid w:val="00001423"/>
    <w:rsid w:val="00025564"/>
    <w:rsid w:val="00026ABF"/>
    <w:rsid w:val="00031DCE"/>
    <w:rsid w:val="000467EC"/>
    <w:rsid w:val="00047216"/>
    <w:rsid w:val="00050693"/>
    <w:rsid w:val="00051D03"/>
    <w:rsid w:val="00052E5A"/>
    <w:rsid w:val="00054C2F"/>
    <w:rsid w:val="000558E6"/>
    <w:rsid w:val="00064A09"/>
    <w:rsid w:val="000701CB"/>
    <w:rsid w:val="00077B03"/>
    <w:rsid w:val="0008356E"/>
    <w:rsid w:val="00086A9E"/>
    <w:rsid w:val="000B015E"/>
    <w:rsid w:val="000B04E4"/>
    <w:rsid w:val="000B16C2"/>
    <w:rsid w:val="000D3CC6"/>
    <w:rsid w:val="000E1B65"/>
    <w:rsid w:val="000E2E5F"/>
    <w:rsid w:val="000E520B"/>
    <w:rsid w:val="000E5875"/>
    <w:rsid w:val="0010070B"/>
    <w:rsid w:val="001041AB"/>
    <w:rsid w:val="00113194"/>
    <w:rsid w:val="00117323"/>
    <w:rsid w:val="001212AF"/>
    <w:rsid w:val="00127CF2"/>
    <w:rsid w:val="001337C1"/>
    <w:rsid w:val="00140E0A"/>
    <w:rsid w:val="001446F8"/>
    <w:rsid w:val="0015363F"/>
    <w:rsid w:val="001579FE"/>
    <w:rsid w:val="0016785E"/>
    <w:rsid w:val="00172A27"/>
    <w:rsid w:val="00172F56"/>
    <w:rsid w:val="00177921"/>
    <w:rsid w:val="00181E19"/>
    <w:rsid w:val="00192154"/>
    <w:rsid w:val="00193789"/>
    <w:rsid w:val="00193CDD"/>
    <w:rsid w:val="001940DA"/>
    <w:rsid w:val="001A1B20"/>
    <w:rsid w:val="001A217B"/>
    <w:rsid w:val="001C189E"/>
    <w:rsid w:val="001C4F53"/>
    <w:rsid w:val="001C7241"/>
    <w:rsid w:val="001D259B"/>
    <w:rsid w:val="001D5E87"/>
    <w:rsid w:val="001E1A5D"/>
    <w:rsid w:val="001E42AF"/>
    <w:rsid w:val="001E4F62"/>
    <w:rsid w:val="001E578E"/>
    <w:rsid w:val="001F4262"/>
    <w:rsid w:val="002050E8"/>
    <w:rsid w:val="002145B9"/>
    <w:rsid w:val="00215C1E"/>
    <w:rsid w:val="002177A7"/>
    <w:rsid w:val="002200E5"/>
    <w:rsid w:val="00220374"/>
    <w:rsid w:val="00233F39"/>
    <w:rsid w:val="002374BD"/>
    <w:rsid w:val="0024332E"/>
    <w:rsid w:val="0024613E"/>
    <w:rsid w:val="00262917"/>
    <w:rsid w:val="00270792"/>
    <w:rsid w:val="00277C07"/>
    <w:rsid w:val="00284268"/>
    <w:rsid w:val="00292685"/>
    <w:rsid w:val="00292874"/>
    <w:rsid w:val="002954A2"/>
    <w:rsid w:val="002A07F9"/>
    <w:rsid w:val="002A2764"/>
    <w:rsid w:val="002B09D8"/>
    <w:rsid w:val="002B4167"/>
    <w:rsid w:val="002D13F8"/>
    <w:rsid w:val="002D25B6"/>
    <w:rsid w:val="002D25ED"/>
    <w:rsid w:val="002D739E"/>
    <w:rsid w:val="002E06E5"/>
    <w:rsid w:val="002F1227"/>
    <w:rsid w:val="00330A0A"/>
    <w:rsid w:val="00345FE9"/>
    <w:rsid w:val="00350FD5"/>
    <w:rsid w:val="00364345"/>
    <w:rsid w:val="003777CA"/>
    <w:rsid w:val="003811C7"/>
    <w:rsid w:val="00387F17"/>
    <w:rsid w:val="00393763"/>
    <w:rsid w:val="003B6163"/>
    <w:rsid w:val="003C3809"/>
    <w:rsid w:val="003C53DC"/>
    <w:rsid w:val="003C79D0"/>
    <w:rsid w:val="003D11C0"/>
    <w:rsid w:val="003D778F"/>
    <w:rsid w:val="003E550B"/>
    <w:rsid w:val="00420600"/>
    <w:rsid w:val="004424F3"/>
    <w:rsid w:val="00445928"/>
    <w:rsid w:val="00446C7F"/>
    <w:rsid w:val="004648D0"/>
    <w:rsid w:val="00470704"/>
    <w:rsid w:val="00473746"/>
    <w:rsid w:val="00483E46"/>
    <w:rsid w:val="00487C07"/>
    <w:rsid w:val="004A115A"/>
    <w:rsid w:val="004A2CB8"/>
    <w:rsid w:val="004D4CC9"/>
    <w:rsid w:val="004D6422"/>
    <w:rsid w:val="004E19D2"/>
    <w:rsid w:val="004F01AB"/>
    <w:rsid w:val="004F78A9"/>
    <w:rsid w:val="00501B14"/>
    <w:rsid w:val="0051695B"/>
    <w:rsid w:val="0053069C"/>
    <w:rsid w:val="005410A2"/>
    <w:rsid w:val="005550FE"/>
    <w:rsid w:val="00561BC2"/>
    <w:rsid w:val="00566AF4"/>
    <w:rsid w:val="00574669"/>
    <w:rsid w:val="00580850"/>
    <w:rsid w:val="0058371C"/>
    <w:rsid w:val="00596752"/>
    <w:rsid w:val="00597157"/>
    <w:rsid w:val="005A0BA3"/>
    <w:rsid w:val="005A7AC9"/>
    <w:rsid w:val="005C0E7A"/>
    <w:rsid w:val="005C10C9"/>
    <w:rsid w:val="005C7052"/>
    <w:rsid w:val="005D6637"/>
    <w:rsid w:val="005D7222"/>
    <w:rsid w:val="005E3954"/>
    <w:rsid w:val="005F1020"/>
    <w:rsid w:val="00603586"/>
    <w:rsid w:val="00605689"/>
    <w:rsid w:val="0061628E"/>
    <w:rsid w:val="006234DF"/>
    <w:rsid w:val="00625477"/>
    <w:rsid w:val="00626CBD"/>
    <w:rsid w:val="006309B2"/>
    <w:rsid w:val="00646439"/>
    <w:rsid w:val="00652637"/>
    <w:rsid w:val="0066337B"/>
    <w:rsid w:val="006664A0"/>
    <w:rsid w:val="006729EA"/>
    <w:rsid w:val="006771A1"/>
    <w:rsid w:val="00677901"/>
    <w:rsid w:val="006902D1"/>
    <w:rsid w:val="0069205B"/>
    <w:rsid w:val="00694816"/>
    <w:rsid w:val="006A07CD"/>
    <w:rsid w:val="006C03D4"/>
    <w:rsid w:val="006D1D5F"/>
    <w:rsid w:val="006D7CFB"/>
    <w:rsid w:val="006E0EDD"/>
    <w:rsid w:val="006E6BCB"/>
    <w:rsid w:val="0071392A"/>
    <w:rsid w:val="00713DBF"/>
    <w:rsid w:val="00721BD3"/>
    <w:rsid w:val="00731E7D"/>
    <w:rsid w:val="007541D0"/>
    <w:rsid w:val="007608EE"/>
    <w:rsid w:val="007610C4"/>
    <w:rsid w:val="007630F7"/>
    <w:rsid w:val="007649A0"/>
    <w:rsid w:val="00765AFD"/>
    <w:rsid w:val="00765F5B"/>
    <w:rsid w:val="0077713E"/>
    <w:rsid w:val="007804CD"/>
    <w:rsid w:val="00795606"/>
    <w:rsid w:val="007A1893"/>
    <w:rsid w:val="007A6581"/>
    <w:rsid w:val="007B034C"/>
    <w:rsid w:val="007C4243"/>
    <w:rsid w:val="007C6BD4"/>
    <w:rsid w:val="007D12DF"/>
    <w:rsid w:val="007D1E26"/>
    <w:rsid w:val="007D5CF3"/>
    <w:rsid w:val="007E1E08"/>
    <w:rsid w:val="007E2D41"/>
    <w:rsid w:val="007E7159"/>
    <w:rsid w:val="007F6D1D"/>
    <w:rsid w:val="0080118C"/>
    <w:rsid w:val="00802D7F"/>
    <w:rsid w:val="00807447"/>
    <w:rsid w:val="008169FD"/>
    <w:rsid w:val="008239B8"/>
    <w:rsid w:val="00823AF3"/>
    <w:rsid w:val="00830084"/>
    <w:rsid w:val="00831115"/>
    <w:rsid w:val="008312BA"/>
    <w:rsid w:val="0083676C"/>
    <w:rsid w:val="00837AC8"/>
    <w:rsid w:val="00843563"/>
    <w:rsid w:val="00847D57"/>
    <w:rsid w:val="008542DF"/>
    <w:rsid w:val="0086645C"/>
    <w:rsid w:val="00871E0C"/>
    <w:rsid w:val="00872299"/>
    <w:rsid w:val="00873962"/>
    <w:rsid w:val="008800E5"/>
    <w:rsid w:val="0088171A"/>
    <w:rsid w:val="00882F9F"/>
    <w:rsid w:val="00887B45"/>
    <w:rsid w:val="0089640F"/>
    <w:rsid w:val="00896BF0"/>
    <w:rsid w:val="008A10A2"/>
    <w:rsid w:val="008A39BE"/>
    <w:rsid w:val="008A3C24"/>
    <w:rsid w:val="008A3FE4"/>
    <w:rsid w:val="008B241D"/>
    <w:rsid w:val="008B2E2F"/>
    <w:rsid w:val="008C5FDB"/>
    <w:rsid w:val="008D1D3D"/>
    <w:rsid w:val="008D39E3"/>
    <w:rsid w:val="008F515F"/>
    <w:rsid w:val="009020AE"/>
    <w:rsid w:val="009064CE"/>
    <w:rsid w:val="00911D89"/>
    <w:rsid w:val="00935735"/>
    <w:rsid w:val="00943910"/>
    <w:rsid w:val="00950A8E"/>
    <w:rsid w:val="00955333"/>
    <w:rsid w:val="00956DC8"/>
    <w:rsid w:val="009672A6"/>
    <w:rsid w:val="009762C0"/>
    <w:rsid w:val="009819CE"/>
    <w:rsid w:val="009832ED"/>
    <w:rsid w:val="00985A65"/>
    <w:rsid w:val="009866AF"/>
    <w:rsid w:val="0099226D"/>
    <w:rsid w:val="009922CA"/>
    <w:rsid w:val="00997131"/>
    <w:rsid w:val="009A4676"/>
    <w:rsid w:val="009B5A82"/>
    <w:rsid w:val="009C085C"/>
    <w:rsid w:val="009C1249"/>
    <w:rsid w:val="009D0843"/>
    <w:rsid w:val="009D17BF"/>
    <w:rsid w:val="009D3D53"/>
    <w:rsid w:val="009E1526"/>
    <w:rsid w:val="009E1E36"/>
    <w:rsid w:val="009F3AB2"/>
    <w:rsid w:val="009F6439"/>
    <w:rsid w:val="00A022EA"/>
    <w:rsid w:val="00A02A1C"/>
    <w:rsid w:val="00A042FC"/>
    <w:rsid w:val="00A13301"/>
    <w:rsid w:val="00A25427"/>
    <w:rsid w:val="00A27083"/>
    <w:rsid w:val="00A3558A"/>
    <w:rsid w:val="00A3572A"/>
    <w:rsid w:val="00A40D1E"/>
    <w:rsid w:val="00A54DDF"/>
    <w:rsid w:val="00A56B55"/>
    <w:rsid w:val="00A62DC7"/>
    <w:rsid w:val="00A63500"/>
    <w:rsid w:val="00A71746"/>
    <w:rsid w:val="00A805A4"/>
    <w:rsid w:val="00A92FE9"/>
    <w:rsid w:val="00A9384E"/>
    <w:rsid w:val="00A94E4D"/>
    <w:rsid w:val="00A96B27"/>
    <w:rsid w:val="00AA2AC7"/>
    <w:rsid w:val="00AA6295"/>
    <w:rsid w:val="00AB76BF"/>
    <w:rsid w:val="00AC0585"/>
    <w:rsid w:val="00AC2762"/>
    <w:rsid w:val="00AC36E0"/>
    <w:rsid w:val="00AD5982"/>
    <w:rsid w:val="00AE50F5"/>
    <w:rsid w:val="00AF268C"/>
    <w:rsid w:val="00AF4DA3"/>
    <w:rsid w:val="00B07062"/>
    <w:rsid w:val="00B139F5"/>
    <w:rsid w:val="00B13BE8"/>
    <w:rsid w:val="00B1564F"/>
    <w:rsid w:val="00B17C9D"/>
    <w:rsid w:val="00B24378"/>
    <w:rsid w:val="00B302D9"/>
    <w:rsid w:val="00B31600"/>
    <w:rsid w:val="00B478BF"/>
    <w:rsid w:val="00B47DCD"/>
    <w:rsid w:val="00B550CA"/>
    <w:rsid w:val="00B55660"/>
    <w:rsid w:val="00B73167"/>
    <w:rsid w:val="00B806FF"/>
    <w:rsid w:val="00B81C41"/>
    <w:rsid w:val="00B82DD2"/>
    <w:rsid w:val="00B830D0"/>
    <w:rsid w:val="00B84F92"/>
    <w:rsid w:val="00B90A68"/>
    <w:rsid w:val="00B96F23"/>
    <w:rsid w:val="00BA460D"/>
    <w:rsid w:val="00BA5C5C"/>
    <w:rsid w:val="00BA7AB6"/>
    <w:rsid w:val="00BB64A8"/>
    <w:rsid w:val="00BC185D"/>
    <w:rsid w:val="00BC7C05"/>
    <w:rsid w:val="00BD3B54"/>
    <w:rsid w:val="00BE5B78"/>
    <w:rsid w:val="00BF6A7C"/>
    <w:rsid w:val="00C14250"/>
    <w:rsid w:val="00C143C8"/>
    <w:rsid w:val="00C14742"/>
    <w:rsid w:val="00C22D35"/>
    <w:rsid w:val="00C23759"/>
    <w:rsid w:val="00C24BD7"/>
    <w:rsid w:val="00C260CF"/>
    <w:rsid w:val="00C267B2"/>
    <w:rsid w:val="00C3395D"/>
    <w:rsid w:val="00C375A9"/>
    <w:rsid w:val="00C42648"/>
    <w:rsid w:val="00C4791C"/>
    <w:rsid w:val="00C5573F"/>
    <w:rsid w:val="00C5669D"/>
    <w:rsid w:val="00C63378"/>
    <w:rsid w:val="00C76BC4"/>
    <w:rsid w:val="00C809A5"/>
    <w:rsid w:val="00C8584B"/>
    <w:rsid w:val="00C94B21"/>
    <w:rsid w:val="00C95061"/>
    <w:rsid w:val="00CA62EF"/>
    <w:rsid w:val="00CA7B44"/>
    <w:rsid w:val="00CB0F83"/>
    <w:rsid w:val="00CB3748"/>
    <w:rsid w:val="00CC0F81"/>
    <w:rsid w:val="00CC1075"/>
    <w:rsid w:val="00CD6934"/>
    <w:rsid w:val="00CF175C"/>
    <w:rsid w:val="00CF5551"/>
    <w:rsid w:val="00D01EB1"/>
    <w:rsid w:val="00D13443"/>
    <w:rsid w:val="00D13F9C"/>
    <w:rsid w:val="00D14B3A"/>
    <w:rsid w:val="00D24056"/>
    <w:rsid w:val="00D277C8"/>
    <w:rsid w:val="00D301FF"/>
    <w:rsid w:val="00D31D64"/>
    <w:rsid w:val="00D439D8"/>
    <w:rsid w:val="00D54B0A"/>
    <w:rsid w:val="00D60E69"/>
    <w:rsid w:val="00D621FB"/>
    <w:rsid w:val="00D62E51"/>
    <w:rsid w:val="00D63A70"/>
    <w:rsid w:val="00D63D99"/>
    <w:rsid w:val="00D6794F"/>
    <w:rsid w:val="00D7131C"/>
    <w:rsid w:val="00D7666E"/>
    <w:rsid w:val="00D840D6"/>
    <w:rsid w:val="00D87B19"/>
    <w:rsid w:val="00D93087"/>
    <w:rsid w:val="00D95664"/>
    <w:rsid w:val="00D96D95"/>
    <w:rsid w:val="00DA0E5C"/>
    <w:rsid w:val="00DB072F"/>
    <w:rsid w:val="00DB1351"/>
    <w:rsid w:val="00DB14B1"/>
    <w:rsid w:val="00DB24BE"/>
    <w:rsid w:val="00DB2737"/>
    <w:rsid w:val="00DB3C9A"/>
    <w:rsid w:val="00DC3000"/>
    <w:rsid w:val="00DD19A3"/>
    <w:rsid w:val="00DD2EBC"/>
    <w:rsid w:val="00DD3484"/>
    <w:rsid w:val="00DE2343"/>
    <w:rsid w:val="00DF6F19"/>
    <w:rsid w:val="00DF70EB"/>
    <w:rsid w:val="00DF7580"/>
    <w:rsid w:val="00E0454F"/>
    <w:rsid w:val="00E13088"/>
    <w:rsid w:val="00E22998"/>
    <w:rsid w:val="00E2711C"/>
    <w:rsid w:val="00E27E67"/>
    <w:rsid w:val="00E360F8"/>
    <w:rsid w:val="00E364DA"/>
    <w:rsid w:val="00E86D3B"/>
    <w:rsid w:val="00E93C01"/>
    <w:rsid w:val="00EA324E"/>
    <w:rsid w:val="00EA3979"/>
    <w:rsid w:val="00EB0980"/>
    <w:rsid w:val="00EB51DF"/>
    <w:rsid w:val="00EC061F"/>
    <w:rsid w:val="00EC3893"/>
    <w:rsid w:val="00EC643B"/>
    <w:rsid w:val="00ED3439"/>
    <w:rsid w:val="00ED69A8"/>
    <w:rsid w:val="00ED7740"/>
    <w:rsid w:val="00EE1403"/>
    <w:rsid w:val="00EF37E5"/>
    <w:rsid w:val="00F0197A"/>
    <w:rsid w:val="00F04210"/>
    <w:rsid w:val="00F04F73"/>
    <w:rsid w:val="00F25BDB"/>
    <w:rsid w:val="00F26451"/>
    <w:rsid w:val="00F314D9"/>
    <w:rsid w:val="00F3170B"/>
    <w:rsid w:val="00F35986"/>
    <w:rsid w:val="00F372EC"/>
    <w:rsid w:val="00F4043D"/>
    <w:rsid w:val="00F45B03"/>
    <w:rsid w:val="00F53DC2"/>
    <w:rsid w:val="00F54B1C"/>
    <w:rsid w:val="00F732CA"/>
    <w:rsid w:val="00F74971"/>
    <w:rsid w:val="00F80280"/>
    <w:rsid w:val="00F81773"/>
    <w:rsid w:val="00F84B47"/>
    <w:rsid w:val="00F878A1"/>
    <w:rsid w:val="00F9065D"/>
    <w:rsid w:val="00F9085A"/>
    <w:rsid w:val="00F93DA9"/>
    <w:rsid w:val="00FA437B"/>
    <w:rsid w:val="00FA740C"/>
    <w:rsid w:val="00FB031C"/>
    <w:rsid w:val="00FC0871"/>
    <w:rsid w:val="00FC1D6C"/>
    <w:rsid w:val="00FC69AC"/>
    <w:rsid w:val="00FE0F4A"/>
    <w:rsid w:val="00FE1AC8"/>
    <w:rsid w:val="00FE4151"/>
    <w:rsid w:val="00FE46FD"/>
    <w:rsid w:val="00FE7F09"/>
    <w:rsid w:val="00FF19BD"/>
    <w:rsid w:val="00FF3847"/>
    <w:rsid w:val="00FF5CFA"/>
    <w:rsid w:val="00FF7519"/>
    <w:rsid w:val="04C63B63"/>
    <w:rsid w:val="052D480C"/>
    <w:rsid w:val="0569336D"/>
    <w:rsid w:val="07BC3BC1"/>
    <w:rsid w:val="080A5EBF"/>
    <w:rsid w:val="0B1161B7"/>
    <w:rsid w:val="0B875DF5"/>
    <w:rsid w:val="0DC82EAC"/>
    <w:rsid w:val="151627A4"/>
    <w:rsid w:val="15CF3257"/>
    <w:rsid w:val="16225260"/>
    <w:rsid w:val="177E3E97"/>
    <w:rsid w:val="17A20BD4"/>
    <w:rsid w:val="1FCC023A"/>
    <w:rsid w:val="1FEFAB8F"/>
    <w:rsid w:val="1FF6107E"/>
    <w:rsid w:val="20E33285"/>
    <w:rsid w:val="222E1FA2"/>
    <w:rsid w:val="231C3E29"/>
    <w:rsid w:val="246F03E5"/>
    <w:rsid w:val="299E43D8"/>
    <w:rsid w:val="2F0A15BB"/>
    <w:rsid w:val="330E04D1"/>
    <w:rsid w:val="34E77D57"/>
    <w:rsid w:val="3557388E"/>
    <w:rsid w:val="35794C5C"/>
    <w:rsid w:val="3DE92661"/>
    <w:rsid w:val="3EEFF4F3"/>
    <w:rsid w:val="401C3B3D"/>
    <w:rsid w:val="444F35A2"/>
    <w:rsid w:val="45C046FE"/>
    <w:rsid w:val="4A1E71A6"/>
    <w:rsid w:val="4A857E4F"/>
    <w:rsid w:val="4B1D294C"/>
    <w:rsid w:val="50365B27"/>
    <w:rsid w:val="517C5E3E"/>
    <w:rsid w:val="563012A6"/>
    <w:rsid w:val="56594A37"/>
    <w:rsid w:val="580F0885"/>
    <w:rsid w:val="58DB1253"/>
    <w:rsid w:val="5DD93B4D"/>
    <w:rsid w:val="611D7264"/>
    <w:rsid w:val="61620C52"/>
    <w:rsid w:val="62C14092"/>
    <w:rsid w:val="62C75F9B"/>
    <w:rsid w:val="658F67AE"/>
    <w:rsid w:val="687D5B7C"/>
    <w:rsid w:val="68BF542F"/>
    <w:rsid w:val="6AF6750A"/>
    <w:rsid w:val="6CCE4B92"/>
    <w:rsid w:val="6FEF21B0"/>
    <w:rsid w:val="7174582F"/>
    <w:rsid w:val="78BC6AA1"/>
    <w:rsid w:val="78E8666B"/>
    <w:rsid w:val="79D704F2"/>
    <w:rsid w:val="7A514939"/>
    <w:rsid w:val="7A5F4EEB"/>
    <w:rsid w:val="7BD2AE16"/>
    <w:rsid w:val="7CCC2A44"/>
    <w:rsid w:val="7DA3E92C"/>
    <w:rsid w:val="7F1B1F70"/>
    <w:rsid w:val="7F2F6BF8"/>
    <w:rsid w:val="7F3F923E"/>
    <w:rsid w:val="7FB76443"/>
    <w:rsid w:val="AB8B2E37"/>
    <w:rsid w:val="BDE372A4"/>
    <w:rsid w:val="BFEEC700"/>
    <w:rsid w:val="DB9658F1"/>
    <w:rsid w:val="EC5F32B1"/>
    <w:rsid w:val="EFEEDAAE"/>
    <w:rsid w:val="EFEFDBB5"/>
    <w:rsid w:val="F2FB6D82"/>
    <w:rsid w:val="F33F01C9"/>
    <w:rsid w:val="F7F779E9"/>
    <w:rsid w:val="FFDB0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cs="宋体"/>
      <w:kern w:val="0"/>
      <w:sz w:val="42"/>
      <w:szCs w:val="4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10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页脚 Char"/>
    <w:basedOn w:val="10"/>
    <w:link w:val="2"/>
    <w:qFormat/>
    <w:uiPriority w:val="99"/>
    <w:rPr>
      <w:sz w:val="18"/>
      <w:szCs w:val="18"/>
    </w:rPr>
  </w:style>
  <w:style w:type="character" w:customStyle="1" w:styleId="19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20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0"/>
    <w:link w:val="4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22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日期 Char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NJSJ</Company>
  <Pages>2</Pages>
  <Words>125</Words>
  <Characters>719</Characters>
  <Lines>5</Lines>
  <Paragraphs>1</Paragraphs>
  <TotalTime>13.3333333333333</TotalTime>
  <ScaleCrop>false</ScaleCrop>
  <LinksUpToDate>false</LinksUpToDate>
  <CharactersWithSpaces>843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2024-03-16T03:05:00Z</dcterms:created>
  <dc:creator>苏榕</dc:creator>
  <cp:lastModifiedBy>NTKO</cp:lastModifiedBy>
  <cp:lastPrinted>2024-03-10T06:28:00Z</cp:lastPrinted>
  <dcterms:modified xsi:type="dcterms:W3CDTF">2024-04-01T09:24:55Z</dcterms:modified>
  <dc:title>南京市“双随机、一公开”监管联席会议办公室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